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Proposta de plataforma</w:t>
      </w:r>
    </w:p>
    <w:p>
      <w:r>
        <w:t>[Cliente] / [Data] / [Versão]</w:t>
      </w:r>
    </w:p>
    <w:p>
      <w:pPr>
        <w:pStyle w:val="Heading1"/>
      </w:pPr>
      <w:r>
        <w:t>O processo que vamos transformar</w:t>
      </w:r>
    </w:p>
    <w:p>
      <w:r>
        <w:t>[Descreva o cenário atual, os usuários e o resultado esperado.]</w:t>
      </w:r>
    </w:p>
    <w:p>
      <w:pPr>
        <w:pStyle w:val="Heading1"/>
      </w:pPr>
      <w:r>
        <w:t>Escopo da solução</w:t>
      </w:r>
    </w:p>
    <w:p>
      <w:pPr>
        <w:pStyle w:val="ListBullet"/>
      </w:pPr>
      <w:r>
        <w:t>Jornadas: [processos incluídos].</w:t>
      </w:r>
    </w:p>
    <w:p>
      <w:pPr>
        <w:pStyle w:val="ListBullet"/>
      </w:pPr>
      <w:r>
        <w:t>Módulos: [componentes e funcionalidades].</w:t>
      </w:r>
    </w:p>
    <w:p>
      <w:pPr>
        <w:pStyle w:val="ListBullet"/>
      </w:pPr>
      <w:r>
        <w:t>Integrações: [sistemas e responsabilidades].</w:t>
      </w:r>
    </w:p>
    <w:p>
      <w:pPr>
        <w:pStyle w:val="ListBullet"/>
      </w:pPr>
      <w:r>
        <w:t>Entregas: [itens e critérios de aceite].</w:t>
      </w:r>
    </w:p>
    <w:p>
      <w:pPr>
        <w:pStyle w:val="Heading1"/>
      </w:pPr>
      <w:r>
        <w:t>Etapas de implantação</w:t>
      </w:r>
    </w:p>
    <w:p>
      <w:r>
        <w:t>[Diagnóstico, desenho, configuração, validação e entrada em operação.]</w:t>
      </w:r>
    </w:p>
    <w:p>
      <w:r>
        <w:br w:type="page"/>
      </w:r>
    </w:p>
    <w:p>
      <w:pPr>
        <w:pStyle w:val="Heading1"/>
      </w:pPr>
      <w:r>
        <w:t>Condições da proposta</w:t>
      </w:r>
    </w:p>
    <w:p>
      <w:pPr>
        <w:pStyle w:val="Heading2"/>
      </w:pPr>
      <w:r>
        <w:t>Investimento</w:t>
      </w:r>
    </w:p>
    <w:p>
      <w:r>
        <w:t>[Valores, recorrência e condições de pagamento.]</w:t>
      </w:r>
    </w:p>
    <w:p>
      <w:pPr>
        <w:pStyle w:val="Heading2"/>
      </w:pPr>
      <w:r>
        <w:t>Prazo e responsabilidades</w:t>
      </w:r>
    </w:p>
    <w:p>
      <w:r>
        <w:t>[Cronograma, dependências e responsáveis por cada entrega.]</w:t>
      </w:r>
    </w:p>
    <w:p>
      <w:pPr>
        <w:pStyle w:val="Heading2"/>
      </w:pPr>
      <w:r>
        <w:t>Premissas e exclusões</w:t>
      </w:r>
    </w:p>
    <w:p>
      <w:r>
        <w:t>[Dados necessários, limites de escopo e serviços não incluídos.]</w:t>
      </w:r>
    </w:p>
    <w:p>
      <w:pPr>
        <w:pStyle w:val="Heading2"/>
      </w:pPr>
      <w:r>
        <w:t>Validade e próximos passos</w:t>
      </w:r>
    </w:p>
    <w:p>
      <w:r>
        <w:t>[Validade da proposta e forma de aprovação.]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656" w:right="1224" w:bottom="115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[Endereço]  ·  [E-mail]  ·  [Telefone]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drawing>
        <wp:inline xmlns:a="http://schemas.openxmlformats.org/drawingml/2006/main" xmlns:pic="http://schemas.openxmlformats.org/drawingml/2006/picture">
          <wp:extent cx="1645920" cy="30723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lattform-horizontal-marinh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5920" cy="30723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0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